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C5" w:rsidRPr="009F3C33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AC5" w:rsidRPr="004B46D9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0AC5" w:rsidRPr="009F3C33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700AC5" w:rsidRPr="009F3C33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700AC5" w:rsidRPr="009F3C33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700AC5" w:rsidRDefault="00700AC5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4B46D9" w:rsidRPr="009F3C33" w:rsidRDefault="004B46D9" w:rsidP="007E0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B46D9" w:rsidRPr="009F3C33" w:rsidTr="0052634E">
        <w:tc>
          <w:tcPr>
            <w:tcW w:w="4845" w:type="dxa"/>
          </w:tcPr>
          <w:p w:rsidR="004B46D9" w:rsidRPr="004B46D9" w:rsidRDefault="004B46D9" w:rsidP="004B46D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B46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 заседание</w:t>
            </w:r>
          </w:p>
        </w:tc>
        <w:tc>
          <w:tcPr>
            <w:tcW w:w="4831" w:type="dxa"/>
          </w:tcPr>
          <w:p w:rsidR="004B46D9" w:rsidRPr="004B46D9" w:rsidRDefault="004B46D9" w:rsidP="004B46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B46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II созыв</w:t>
            </w:r>
          </w:p>
        </w:tc>
      </w:tr>
      <w:tr w:rsidR="004B46D9" w:rsidRPr="009F3C33" w:rsidTr="0052634E">
        <w:tc>
          <w:tcPr>
            <w:tcW w:w="4845" w:type="dxa"/>
          </w:tcPr>
          <w:p w:rsidR="004B46D9" w:rsidRPr="004B46D9" w:rsidRDefault="004B46D9" w:rsidP="004B46D9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B46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10.02.2021                                                  </w:t>
            </w:r>
          </w:p>
        </w:tc>
        <w:tc>
          <w:tcPr>
            <w:tcW w:w="4831" w:type="dxa"/>
          </w:tcPr>
          <w:p w:rsidR="004B46D9" w:rsidRPr="004B46D9" w:rsidRDefault="004B46D9" w:rsidP="004B46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4B46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7E0AC3" w:rsidRPr="009F3C33" w:rsidRDefault="007E0AC3" w:rsidP="004B46D9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00AC5" w:rsidRPr="009F3C33" w:rsidRDefault="00700AC5" w:rsidP="007E0AC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4B4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49</w:t>
      </w:r>
    </w:p>
    <w:p w:rsidR="00700AC5" w:rsidRPr="009F3C33" w:rsidRDefault="00700AC5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</w:tblGrid>
      <w:tr w:rsidR="00700AC5" w:rsidRPr="009F3C33" w:rsidTr="0052634E">
        <w:trPr>
          <w:trHeight w:val="1102"/>
        </w:trPr>
        <w:tc>
          <w:tcPr>
            <w:tcW w:w="5778" w:type="dxa"/>
          </w:tcPr>
          <w:p w:rsidR="00700AC5" w:rsidRPr="009F3C33" w:rsidRDefault="009F3C33" w:rsidP="004B46D9">
            <w:pPr>
              <w:tabs>
                <w:tab w:val="center" w:pos="4775"/>
                <w:tab w:val="right" w:pos="955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 о</w:t>
            </w: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тчет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</w:t>
            </w: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деятельности Контрольно-счетной палаты муниципального образования </w:t>
            </w:r>
            <w:proofErr w:type="spellStart"/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Соль-Илецкий</w:t>
            </w:r>
            <w:proofErr w:type="spellEnd"/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городской округ Оренбургской области в 2020 году</w:t>
            </w:r>
            <w:r w:rsidRPr="009F3C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00AC5" w:rsidRPr="009F3C33" w:rsidRDefault="00700AC5" w:rsidP="004B46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отчет председателя Контрольно-счетной палаты, </w:t>
      </w:r>
      <w:proofErr w:type="spellStart"/>
      <w:r w:rsidRPr="009F3C33">
        <w:rPr>
          <w:rFonts w:ascii="Times New Roman" w:eastAsia="Times New Roman" w:hAnsi="Times New Roman" w:cs="Times New Roman"/>
          <w:sz w:val="28"/>
          <w:szCs w:val="28"/>
        </w:rPr>
        <w:t>Гайворонской</w:t>
      </w:r>
      <w:proofErr w:type="spellEnd"/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 М.Н</w:t>
      </w:r>
      <w:r w:rsidR="002318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1842" w:rsidRPr="00231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31842" w:rsidRPr="00231842">
        <w:rPr>
          <w:rFonts w:ascii="Times New Roman" w:hAnsi="Times New Roman" w:cs="Times New Roman"/>
          <w:bCs/>
          <w:sz w:val="28"/>
          <w:szCs w:val="28"/>
        </w:rPr>
        <w:t xml:space="preserve">о деятельности Контрольно-счетной палаты муниципального образования </w:t>
      </w:r>
      <w:proofErr w:type="spellStart"/>
      <w:r w:rsidR="00231842" w:rsidRPr="00231842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231842" w:rsidRPr="00231842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в 2020 году</w:t>
      </w:r>
      <w:r w:rsidR="002318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F3C33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 пунктом 2 статьи 20 «Положения о Контрольно-счетной палате муниципального образования</w:t>
      </w:r>
      <w:proofErr w:type="gramEnd"/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3C33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области», утвержденного решением Совета депутатов от 27.11.2015 № 43, Совет депутатов решил:</w:t>
      </w:r>
    </w:p>
    <w:p w:rsidR="00700AC5" w:rsidRPr="009F3C33" w:rsidRDefault="00700AC5" w:rsidP="004B46D9">
      <w:pPr>
        <w:tabs>
          <w:tab w:val="center" w:pos="4775"/>
          <w:tab w:val="right" w:pos="9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bCs/>
          <w:sz w:val="28"/>
          <w:szCs w:val="28"/>
        </w:rPr>
        <w:t>1.</w:t>
      </w:r>
      <w:r w:rsidR="002E7081" w:rsidRPr="009F3C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C33" w:rsidRPr="009F3C33">
        <w:rPr>
          <w:rFonts w:ascii="Times New Roman" w:hAnsi="Times New Roman" w:cs="Times New Roman"/>
          <w:bCs/>
          <w:sz w:val="28"/>
          <w:szCs w:val="28"/>
        </w:rPr>
        <w:t xml:space="preserve">Отчет о деятельности Контрольно-счетной палаты муниципального образования </w:t>
      </w:r>
      <w:proofErr w:type="spellStart"/>
      <w:r w:rsidR="009F3C33" w:rsidRPr="009F3C33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9F3C33" w:rsidRPr="009F3C33">
        <w:rPr>
          <w:rFonts w:ascii="Times New Roman" w:hAnsi="Times New Roman" w:cs="Times New Roman"/>
          <w:bCs/>
          <w:sz w:val="28"/>
          <w:szCs w:val="28"/>
        </w:rPr>
        <w:t xml:space="preserve"> городской округ Оренбургской области в 2020 году</w:t>
      </w:r>
      <w:r w:rsidR="009F3C33" w:rsidRPr="009F3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700AC5" w:rsidRPr="009F3C33" w:rsidRDefault="00700AC5" w:rsidP="004B46D9">
      <w:pPr>
        <w:pStyle w:val="a3"/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sz w:val="28"/>
          <w:szCs w:val="28"/>
        </w:rPr>
        <w:t>2. Установить, что настоящее р</w:t>
      </w:r>
      <w:r w:rsidRPr="009F3C33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со дня принятия</w:t>
      </w:r>
      <w:r w:rsidRPr="009F3C33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700AC5" w:rsidRDefault="00700AC5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B46D9" w:rsidRPr="009F3C33" w:rsidRDefault="004B46D9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0AC5" w:rsidRPr="009F3C33" w:rsidRDefault="00700AC5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00AC5" w:rsidRPr="009F3C33" w:rsidRDefault="00700AC5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69D7" w:rsidRPr="009F3C33" w:rsidRDefault="00700AC5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3C33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Н.</w:t>
      </w:r>
      <w:r w:rsidR="001A69D7" w:rsidRPr="009F3C33">
        <w:rPr>
          <w:rFonts w:ascii="Times New Roman" w:eastAsia="Times New Roman" w:hAnsi="Times New Roman" w:cs="Times New Roman"/>
          <w:sz w:val="28"/>
          <w:szCs w:val="28"/>
        </w:rPr>
        <w:t>А.Кузьмин</w:t>
      </w:r>
    </w:p>
    <w:p w:rsidR="001A69D7" w:rsidRPr="009F3C33" w:rsidRDefault="001A69D7" w:rsidP="007E0A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3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B46D9" w:rsidRDefault="004B46D9" w:rsidP="009F3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46D9" w:rsidRDefault="004B46D9" w:rsidP="009F3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0AC5" w:rsidRPr="004B46D9" w:rsidRDefault="00700AC5" w:rsidP="009F3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B46D9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 w:rsidR="00222DD9" w:rsidRPr="004B46D9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 экз., Контрольно-счетная палата </w:t>
      </w:r>
      <w:proofErr w:type="spellStart"/>
      <w:r w:rsidRPr="004B46D9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 администрация </w:t>
      </w:r>
      <w:proofErr w:type="spellStart"/>
      <w:r w:rsidRPr="004B46D9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B46D9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B46D9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9F3C33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9F3C33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4B46D9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10.02.</w:t>
      </w:r>
      <w:r w:rsidR="00222DD9" w:rsidRPr="009F3C33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2021</w:t>
      </w:r>
      <w:r w:rsidRPr="009F3C33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 № </w:t>
      </w:r>
      <w:r w:rsidR="004B46D9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49</w:t>
      </w:r>
    </w:p>
    <w:p w:rsidR="002E7081" w:rsidRPr="009F3C33" w:rsidRDefault="002E7081" w:rsidP="007E0AC3">
      <w:pPr>
        <w:shd w:val="clear" w:color="auto" w:fill="FFFFFF"/>
        <w:tabs>
          <w:tab w:val="left" w:pos="5812"/>
          <w:tab w:val="left" w:pos="6663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</w:p>
    <w:p w:rsidR="009F3C33" w:rsidRPr="009F3C33" w:rsidRDefault="009F3C33" w:rsidP="009F3C33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231842" w:rsidRDefault="009F3C33" w:rsidP="009F3C33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Контрольно-счетной палаты муниципального образования </w:t>
      </w:r>
      <w:proofErr w:type="spellStart"/>
      <w:r w:rsidRPr="009F3C33">
        <w:rPr>
          <w:rFonts w:ascii="Times New Roman" w:hAnsi="Times New Roman" w:cs="Times New Roman"/>
          <w:b/>
          <w:bCs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округ Оренбургской области </w:t>
      </w:r>
    </w:p>
    <w:p w:rsidR="009F3C33" w:rsidRPr="009F3C33" w:rsidRDefault="009F3C33" w:rsidP="009F3C33">
      <w:pPr>
        <w:tabs>
          <w:tab w:val="center" w:pos="4775"/>
          <w:tab w:val="right" w:pos="955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C33">
        <w:rPr>
          <w:rFonts w:ascii="Times New Roman" w:hAnsi="Times New Roman" w:cs="Times New Roman"/>
          <w:b/>
          <w:bCs/>
          <w:sz w:val="28"/>
          <w:szCs w:val="28"/>
        </w:rPr>
        <w:t>в 2020 году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C22BF" w:rsidRDefault="009F3C33" w:rsidP="009F3C33">
      <w:pPr>
        <w:widowControl w:val="0"/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</w:rPr>
      </w:pPr>
      <w:proofErr w:type="gramStart"/>
      <w:r w:rsidRPr="009F3C33">
        <w:rPr>
          <w:rFonts w:ascii="Times New Roman" w:eastAsia="Batang" w:hAnsi="Times New Roman" w:cs="Times New Roman"/>
          <w:sz w:val="28"/>
          <w:szCs w:val="28"/>
        </w:rPr>
        <w:t xml:space="preserve">(отчет утвержден  распоряжением председателя Контрольно-счетной палаты муниципального образования </w:t>
      </w:r>
      <w:proofErr w:type="spellStart"/>
      <w:r w:rsidRPr="009F3C33">
        <w:rPr>
          <w:rFonts w:ascii="Times New Roman" w:eastAsia="Batang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eastAsia="Batang" w:hAnsi="Times New Roman" w:cs="Times New Roman"/>
          <w:sz w:val="28"/>
          <w:szCs w:val="28"/>
        </w:rPr>
        <w:t xml:space="preserve"> городской округ </w:t>
      </w:r>
      <w:proofErr w:type="gramEnd"/>
    </w:p>
    <w:p w:rsidR="009F3C33" w:rsidRPr="009F3C33" w:rsidRDefault="009F3C33" w:rsidP="009F3C33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3C33">
        <w:rPr>
          <w:rFonts w:ascii="Times New Roman" w:eastAsia="Batang" w:hAnsi="Times New Roman" w:cs="Times New Roman"/>
          <w:sz w:val="28"/>
          <w:szCs w:val="28"/>
        </w:rPr>
        <w:t>от  22.01.2021 № 2</w:t>
      </w:r>
      <w:r w:rsidRPr="009F3C33">
        <w:rPr>
          <w:rFonts w:ascii="Times New Roman" w:hAnsi="Times New Roman" w:cs="Times New Roman"/>
          <w:bCs/>
          <w:sz w:val="28"/>
          <w:szCs w:val="28"/>
        </w:rPr>
        <w:t>)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F3C33" w:rsidRPr="009F3C33" w:rsidRDefault="009F3C33" w:rsidP="009F3C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t xml:space="preserve">1. Общие итоги работы Контрольно-счетной палаты </w:t>
      </w:r>
      <w:proofErr w:type="spellStart"/>
      <w:r w:rsidRPr="009F3C33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eastAsia="Batang" w:hAnsi="Times New Roman" w:cs="Times New Roman"/>
          <w:b/>
          <w:sz w:val="28"/>
          <w:szCs w:val="28"/>
        </w:rPr>
      </w:pP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 xml:space="preserve">В 2020 году Контрольно-счетная палата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городского округа (далее – Контрольно-счетная палата), как постоянно действующий орган внешнего муниципального контроля, осуществляла свою деятельность на основании  плана работы в соответствии с задачами, установленными Бюджетным кодексом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Контрольно-счетной палате муниципального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proofErr w:type="gram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утвержденного решением Совета депутатов муниципального 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от 27.11.2015 № 43 (далее - Положение о Контрольно-счетной палате), решениями Совета депутатов муниципального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29.10.2015 № 21, от 22.06.2020 № 866 «Об утверждении Положения о бюджетном процессе в муниципальном образовании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округ».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>При осуществлении деятельности Контрольно-счетная палата руководствовалась постановлением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(далее - Постановление Правительства РФ от 03.04.2020 № 438).</w:t>
      </w:r>
      <w:proofErr w:type="gramEnd"/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На основании Постановления Правительства РФ от 03.04.2020 № 438 </w:t>
      </w:r>
      <w:r w:rsidRPr="009F3C33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Контрольно-счетной палатой плановых контрольных мероприятий было приостановлено до 08.08.2020, внесены изменения в план работы Контрольно-счетной палаты на 2020 год.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В приложении 1 к настоящему отчету приведены основные показатели и результаты  деятельности Контрольно-счетной палаты в 2020 году в рамках реализации полномочий, предусмотренных статьей 8 Положения о Контрольно-счетной палате.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В отчетном периоде, как и в предыдущие годы, основными направлениями деятельности Контрольно-счетной палаты были контрольная, экспертно-аналитическая,  организационно-методическая и информационная, из которых первостепенным является проведение контрольных и экспертно-аналитических мероприятий.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Контрольные мероприятия в отчетном году проводились в соответствии с планом, который включает поручение Совета депутатов муниципального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Оренбургской, предложение прокуратуры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В рамках экспертно-аналитической деятельности в отчетном году проведено 9 мероприятий. Подготовлено 6 заключений на проекты решений и нормативные правовые акты, 3 аналитических материала об исполнении бюджета городского округа (ежеквартально).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По результатам проведенных мероприятий Контрольно-счетная палата принимает меры направленные на устранение нарушений законодательства и иных нормативных правовых актов, затрагивающих интересы муниципальных структур и иных участников бюджетного процесса. В 2020 году Контрольно-счетной палатой в адреса субъектов проверок было направлено 3 представления.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В отчетном периоде в рамках заключенного Соглашения  продолжалось сотрудничество с прокуратурой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района, основной целью которого являлось предупреждение и пресечение правонарушений в финансово-бюджетной сфере. В 2020 году  в прокуратуру направлено 3 информационных материала о результатах контрольных мероприятий.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Также в течение отчетного периода должностные лица  Контрольно-счетной палаты принимали участие в  проверке проводимой прокуратурой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9F3C33">
        <w:rPr>
          <w:rFonts w:ascii="Times New Roman" w:hAnsi="Times New Roman" w:cs="Times New Roman"/>
          <w:sz w:val="28"/>
          <w:szCs w:val="28"/>
        </w:rPr>
        <w:tab/>
        <w:t xml:space="preserve">на основании требования прокурора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В рамках заключенного в отчетном периоде Соглашения о сотрудничестве между Контрольно-счетной палатой и отделом Министерства внутренних дел Российской Федерации по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Соль-Илецкому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городскому округу были подготовлены 4 справки.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Осуществлялось межведомственное взаимодействие Контрольно-счетной палаты с правоохранительными и надзорными органами и в формате сформированной межведомственной рабочей группы по противодействию коррупции. 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Поскольку одним из принципов деятельности контрольного органа является гласность, Контрольно-счетная палата систематически информирует общественность о своей деятельности путем размещения на официальном сайте муниципального образования </w:t>
      </w:r>
      <w:proofErr w:type="spell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в сети Интернет сведений о результатах проведенных контрольных и экспертно-аналитических мероприятий, планов работы и стандартов внешнего муниципального финансового контроля. Информация, размещенная на сайте, поддерживалась в актуальной редакции и постоянно обновлялась.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C33" w:rsidRPr="009F3C33" w:rsidRDefault="009F3C33" w:rsidP="009F3C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t>2. Контрольная деятельность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2020 году Контрольно-счетной палатой проведено 3 </w:t>
      </w:r>
      <w:proofErr w:type="gram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>контрольных</w:t>
      </w:r>
      <w:proofErr w:type="gram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 и внешняя проверка годового отчета об исполнении бюджета городского округа за 2019 год в соответствии со статьей 264.4. Бюджетного кодекса Российской Федерации. Проведенными контрольными мероприятиями охвачено 9 объектов.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>Общая сумма нарушений, установленная Контрольно-счетной палатой по итогам контрольных мероприятий в отчетном году (без учета внешних проверок главных администраторов бюджетных средств), составила 1 370,5 тыс. рублей.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единства классификации нарушений действующего законодательства, группировка выявленных в ходе контрольной деятельности нарушений и недостатков осуществлялась с применением Классификатора нарушений, выявленных в ходе внешнего государственного аудита (контроля) одобренного Советом контрольно-счетных органов при Счетной палате Российской Федерации, а также Классификатора нарушений, выявленных в ходе внешнего государственного аудита (контроля) должностными лицами Счетной палаты Оренбургской области, утвержденного постановлением Коллегии от 21.01.2016</w:t>
      </w:r>
      <w:proofErr w:type="gram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№ 4 (в редакции от 27.12.2018 № 105). 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>В структуре суммовых нарушений, отраженных в отчете наиболее значительными объемами  в 2020 году характеризуются  следующие нарушения: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F3C33">
        <w:rPr>
          <w:rFonts w:ascii="Times New Roman" w:hAnsi="Times New Roman" w:cs="Times New Roman"/>
          <w:i/>
          <w:color w:val="000000"/>
          <w:sz w:val="28"/>
          <w:szCs w:val="28"/>
        </w:rPr>
        <w:t>нарушения ведения бухгалтерского учета, составления и представления бухгалтерской (финансовой) отчетности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>, а именно: грубое нарушение требований к составлению бюджетной отчетности сложившиеся в сумме 1 284,7 тыс. рублей;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объем нарушений </w:t>
      </w:r>
      <w:r w:rsidRPr="009F3C3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 формировании и исполнении бюджета 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>оценивается в размере 85,8 тыс. рублей (нарушения порядка формирования и (или) финансового обеспечения выполнения муниципального задания на оказание муниципальных услуг (выполнения работ) муниципальными учреждениями).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 xml:space="preserve">По результатам аудита в сфере закупок, </w:t>
      </w:r>
      <w:r w:rsidRPr="009F3C33">
        <w:rPr>
          <w:rFonts w:ascii="Times New Roman" w:hAnsi="Times New Roman" w:cs="Times New Roman"/>
          <w:sz w:val="28"/>
          <w:szCs w:val="28"/>
        </w:rPr>
        <w:t>установленного законодательством о контрактной системе в качестве исключительного полномочия контрольно-счетных органов, Контрольно-счетной палатой выявлено 2 факта непредставления, несвоевременного представления информации (сведений) и (или) документов, подлежащих включению в реестр контрактов, заключенных заказчиками.</w:t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>2.1. Контрольные мероприятия</w:t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 2020 году Контрольно-счетной палатой проведено 3 </w:t>
      </w:r>
      <w:proofErr w:type="gramStart"/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контрольных</w:t>
      </w:r>
      <w:proofErr w:type="gramEnd"/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 итогам контрольного мероприятия «</w:t>
      </w:r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Проверка использования бюджетных средств, выделенных в 2019 году и истекшем период 2020 года муниципальному учреждению «Центр обслуживания учреждений культуры» </w:t>
      </w:r>
      <w:proofErr w:type="spellStart"/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Соль-Илецкого</w:t>
      </w:r>
      <w:proofErr w:type="spellEnd"/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городского округа» </w:t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выявлены финансовые нарушения на сумму 85,8 тыс. рублей, а именно: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нарушения порядка формирования и (или) финансового обеспечения выполнения муниципального задания на оказание муниципальных услуг (выполнения работ) муниципальными учреждениями.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>Установлены 3 факта нарушений в сфере управления и распоряжения муниципальной собственностью (в части нарушения порядка отнесения имущества автономного или бюджетного учреждения к категории особо ценного движимого имущества).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Проверкой использования бюджетных средств на оплату труда работников учреждения выявлено, что деятельность кассиров учреждения оценивалась на основании показателей, выполнение которых в полном объеме заведомо невозможно; при приеме на работу специалистов персональные повышающие коэффициенты определялись формально; отдельные нормы Положения об оплате труда работников учреждения сформулированы некорректно.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 нарушение Указаний Банка России от 11.03.2014 № 3210-У работники учреждения  осуществляли ведение кассовых операций (прием денежной наличности от продажи билетов и сдачи наличности в кассу) в ином муниципальном бюджетном учреждении. </w:t>
      </w:r>
    </w:p>
    <w:p w:rsidR="009F3C33" w:rsidRPr="009F3C33" w:rsidRDefault="009F3C33" w:rsidP="009F3C33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 итогам проведенного контрольного мероприятия направлено 2 представления Контрольно-счетной палаты.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результатам </w:t>
      </w:r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проверки расходования бюджетных средств муниципальным бюджетным учреждением культуры «Клуб досуга и творчества», выделенных на приобретение музыкального оборудования в 2019 году </w:t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выявлено нарушение</w:t>
      </w:r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части 3 статьи 103 Федерального закона от 05.04.2013 №44-ФЗ, пункта 12 Правил ведения реестра контрактов, заключенных заказчиками, утвержденных Постановлением Правительства Российской федерации от 28.11.2013 №1084 (в течение 5 рабочих дней не размещен в единой информационной системе</w:t>
      </w:r>
      <w:proofErr w:type="gramEnd"/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 о приемке </w:t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поставленного товара и информация об оплате контракта).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 итогам проведенного контрольного мероприятия направлено представление Контрольно-счетной палаты.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 результатам </w:t>
      </w:r>
      <w:r w:rsidRPr="009F3C3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проверки использования бюджетных средств, выделенных в 2019 году и истекшем периоде 2020 года муниципальному бюджетному учреждению «Отдел материально-технического обеспечения» </w:t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выявлены финансовые нарушения на сумму 1 284,7 тыс. рублей, а именно: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>нарушения ведения бухгалтерского учета, составления и представления бухгалтерской (финансовой) отчетности (грубое нарушение требований к составлению бюджетной отчетности).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Кроме того установлены нарушения порядка отнесения имущества автономного или бюджетного учреждения к категории особо ценного движимого имущества (в количестве – 19); нарушения требований предъявляемых к регистру бухгалтерского учета (3); нарушения требований федерального законодательства, а также Учетной политики учреждения по учету запасных частей к транспортным средствам выданным взамен изношенных на </w:t>
      </w:r>
      <w:proofErr w:type="spell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счете; нарушения приказа Министерства транспорта РФ «Об утверждении обязательных реквизитов и порядка заполнения путевых листов»,  а также порядка регистрации путевых листов в журнале учета движения путевых листов.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Проверкой установлены факты применения учреждением базовых норм расхода топлива на отдельные автомобили с завышением установленных Методическими рекомендациями. 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F3C33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проведенного контрольного мероприятия направлено представление Контрольно-счетной палаты.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>2.2.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Внешняя проверка годового отчета об исполнении бюджета городского округа за 2019 год</w:t>
      </w:r>
    </w:p>
    <w:p w:rsidR="009F3C33" w:rsidRPr="009F3C33" w:rsidRDefault="009F3C33" w:rsidP="009F3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3C33" w:rsidRPr="009F3C33" w:rsidRDefault="009F3C33" w:rsidP="009F3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>Внешняя проверка годового отчета об исполнении бюджета городского округа за 2019 год в соответствии с требованиями статьи 264.4 Бюджетного кодекса РФ проведена Контрольно-счетной палатой в 2 этапа: внешняя проверка бюджетной отчетности главных администраторов средств бюджета городского округа  (далее - ГАБС) и подготовка заключения на годовой отчет об исполнении бюджета городского округа.</w:t>
      </w:r>
    </w:p>
    <w:p w:rsidR="009F3C33" w:rsidRPr="009F3C33" w:rsidRDefault="009F3C33" w:rsidP="009F3C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Внешней проверкой бюджетной отчетности ГАБС за 2019 год установлено несоответствие содержания форм бюджетной отчетности требованиям Инструкции №191н (ненадлежащее или неполное отражение данных в бюджетной отчетности) (4 ГАБС); </w:t>
      </w:r>
    </w:p>
    <w:p w:rsidR="009F3C33" w:rsidRPr="009F3C33" w:rsidRDefault="009F3C33" w:rsidP="009F3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r w:rsidRPr="009F3C3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Подготовка заключения на годовой отчет об исполнении бюджета городского округа является вторым и заключительным этапом внешней проверки годового отчета об исполнении бюджета городского округа.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Основный вывод по результатам проведенной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внешней проверки годового отчета об исполнении бюджета городского округа за 2019 год заключается в 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том, что</w:t>
      </w:r>
      <w:r w:rsidRPr="009F3C33">
        <w:rPr>
          <w:rFonts w:ascii="Times New Roman" w:hAnsi="Times New Roman" w:cs="Times New Roman"/>
          <w:sz w:val="28"/>
          <w:szCs w:val="28"/>
        </w:rPr>
        <w:t xml:space="preserve"> формы годового отчета об исполнении бюджета муниципального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за 2019 год представлены в полном объеме и в установленный срок; показатели годового отчета об исполнении бюджета городского округа в целом соответствуют показателям исполнения бюджета, установленным в ходе внешней проверки бюджетной отчетности главных администраторов бюджетных средств.</w:t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t>3. Экспертно-аналитическая деятельность</w:t>
      </w:r>
    </w:p>
    <w:p w:rsidR="009F3C33" w:rsidRPr="009F3C33" w:rsidRDefault="009F3C33" w:rsidP="009F3C3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Экспертно</w:t>
      </w:r>
      <w:r w:rsidRPr="009F3C33">
        <w:rPr>
          <w:rFonts w:ascii="Times New Roman" w:hAnsi="Times New Roman" w:cs="Times New Roman"/>
          <w:b/>
          <w:sz w:val="28"/>
          <w:szCs w:val="28"/>
        </w:rPr>
        <w:t>-</w:t>
      </w:r>
      <w:r w:rsidRPr="009F3C33">
        <w:rPr>
          <w:rFonts w:ascii="Times New Roman" w:hAnsi="Times New Roman" w:cs="Times New Roman"/>
          <w:sz w:val="28"/>
          <w:szCs w:val="28"/>
        </w:rPr>
        <w:t>аналитическая деятельность  Контрольно-счетной палаты в отчетном году заключалась, прежде всего, в экспертизе проектов бюджета городского округа</w:t>
      </w:r>
      <w:r w:rsidRPr="009F3C33">
        <w:rPr>
          <w:rFonts w:ascii="Times New Roman" w:hAnsi="Times New Roman" w:cs="Times New Roman"/>
          <w:b/>
          <w:sz w:val="28"/>
          <w:szCs w:val="28"/>
        </w:rPr>
        <w:t>.</w:t>
      </w:r>
    </w:p>
    <w:p w:rsidR="009F3C33" w:rsidRPr="009F3C33" w:rsidRDefault="009F3C33" w:rsidP="009F3C33">
      <w:pPr>
        <w:pStyle w:val="ac"/>
        <w:widowControl w:val="0"/>
        <w:spacing w:after="0"/>
        <w:ind w:firstLine="0"/>
        <w:rPr>
          <w:rFonts w:ascii="Times New Roman" w:hAnsi="Times New Roman"/>
          <w:color w:val="auto"/>
          <w:sz w:val="28"/>
          <w:szCs w:val="28"/>
        </w:rPr>
      </w:pPr>
      <w:r w:rsidRPr="009F3C33">
        <w:rPr>
          <w:rFonts w:ascii="Times New Roman" w:hAnsi="Times New Roman"/>
          <w:sz w:val="28"/>
          <w:szCs w:val="28"/>
        </w:rPr>
        <w:tab/>
        <w:t xml:space="preserve">В 2020 году Контрольно-счетной палатой подготовлено 9 заключений по результатам экспертно-аналитических мероприятий и 3 аналитических материала об исполнении бюджета городского округа.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3.1. Экспертиза проекта решения Совета депутатов о бюджете городского округа на 2021 год и на плановый период 2022 и 2023 годов. </w:t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Бюджетного кодекса, решения Совета депутатов «О Контрольно-счетной палате муниципального образования </w:t>
      </w:r>
      <w:proofErr w:type="spellStart"/>
      <w:r w:rsidRPr="009F3C33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 Оренбургской области» и «</w:t>
      </w:r>
      <w:r w:rsidRPr="009F3C33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округ»  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проведена экспертиза проекта решения Совета депутатов </w:t>
      </w:r>
      <w:r w:rsidRPr="009F3C33">
        <w:rPr>
          <w:rFonts w:ascii="Times New Roman" w:hAnsi="Times New Roman" w:cs="Times New Roman"/>
          <w:bCs/>
          <w:sz w:val="28"/>
          <w:szCs w:val="28"/>
        </w:rPr>
        <w:t xml:space="preserve">«О бюджете муниципального образования </w:t>
      </w:r>
      <w:proofErr w:type="spellStart"/>
      <w:r w:rsidRPr="009F3C33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bCs/>
          <w:sz w:val="28"/>
          <w:szCs w:val="28"/>
        </w:rPr>
        <w:t xml:space="preserve"> городской округ на 2021 год и на плановый период 2022 и 2023 годов»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экспертизы подготовлено заключение.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В ходе экспертизы содержание проекта решения и документов проверены на соответствие требованиям бюджетного законодательства. </w:t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 xml:space="preserve">Проанализированы параметры бюджета городского округа на 2021-2023 годы в динамике, а также показатели доходов и расходов бюджета на 2021 год по отношению к ожидаемому исполнению за 2020 год с подробным описанием в подготовленном заключение. </w:t>
      </w:r>
      <w:proofErr w:type="gramEnd"/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>Основной вывод Контрольно-счетной палаты по результатам проведенной экспертизы заключается в том, что</w:t>
      </w:r>
      <w:r w:rsidRPr="009F3C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C33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</w:t>
      </w:r>
      <w:proofErr w:type="spellStart"/>
      <w:r w:rsidRPr="009F3C33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9F3C33">
        <w:rPr>
          <w:rFonts w:ascii="Times New Roman" w:hAnsi="Times New Roman" w:cs="Times New Roman"/>
          <w:sz w:val="28"/>
          <w:szCs w:val="28"/>
        </w:rPr>
        <w:t xml:space="preserve"> городской округ на 2021 год и на плановый период 2022 и 2023 годов сформирован бездефицитный. Содержание проекта решения соответствует требованиям бюджетного законодательства. Принцип сбалансированности соблюден.</w:t>
      </w:r>
      <w:r w:rsidRPr="009F3C3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проведенного анализа проекта решения о бюджете и документов, составляющих основу формирования бюджета, дают основания для принятия проекта решения.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color w:val="000000"/>
          <w:sz w:val="28"/>
          <w:szCs w:val="28"/>
        </w:rPr>
        <w:tab/>
        <w:t>3.2. Экспертиза вносимых изменений в решение Совета депутатов о бюджете городского округа на 2020 год и на плановый период 2021 и 2022 годов.</w:t>
      </w:r>
      <w:r w:rsidRPr="009F3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Основной задачей проводимой в 2020 году финансовой экспертизы </w:t>
      </w:r>
      <w:r w:rsidRPr="009F3C33">
        <w:rPr>
          <w:rFonts w:ascii="Times New Roman" w:hAnsi="Times New Roman" w:cs="Times New Roman"/>
          <w:sz w:val="28"/>
          <w:szCs w:val="28"/>
        </w:rPr>
        <w:lastRenderedPageBreak/>
        <w:t>вносимых изменений в решение о бюджете городского округа, являлось установление соответствия проекта решения действующему законодательству и определение обоснованности вносимых изменений в бюджет городского округа.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>Контрольно - счетной палатой в 2020 году подготовлено 6 заключений на проекты решений Совета депутатов  о внесении изменений в бюджет городского округа на 2020 год и на плановый период 2021 и 2022 годов.</w:t>
      </w:r>
    </w:p>
    <w:p w:rsidR="009F3C33" w:rsidRPr="009F3C33" w:rsidRDefault="009F3C33" w:rsidP="009F3C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3.3. Контрольно-счетная палата  принимала участие в </w:t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>экспертно-аналитическом</w:t>
      </w:r>
      <w:proofErr w:type="gramEnd"/>
      <w:r w:rsidRPr="009F3C33">
        <w:rPr>
          <w:rFonts w:ascii="Times New Roman" w:hAnsi="Times New Roman" w:cs="Times New Roman"/>
          <w:sz w:val="28"/>
          <w:szCs w:val="28"/>
        </w:rPr>
        <w:t xml:space="preserve"> мероприятие «Анализ результативности мер, принимаемых органами исполнительной власти Оренбургской области, направленных на выявление и сокращение объемов незавершенного строительства 9параллельно с контрольно-счетными органами муниципальных образований Оренбургской области)» проводимом Счетной палатой Оренбургской области.</w:t>
      </w:r>
    </w:p>
    <w:p w:rsidR="009F3C33" w:rsidRPr="009F3C33" w:rsidRDefault="009F3C33" w:rsidP="009F3C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F3C3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 xml:space="preserve"> </w:t>
      </w:r>
      <w:r w:rsidRPr="009F3C3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F3C33">
        <w:rPr>
          <w:rFonts w:ascii="Times New Roman" w:hAnsi="Times New Roman" w:cs="Times New Roman"/>
          <w:b/>
          <w:sz w:val="28"/>
          <w:szCs w:val="28"/>
        </w:rPr>
        <w:tab/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t>4. Направления деятельности Контрольно-счетной палаты в 2021 году</w:t>
      </w: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C33" w:rsidRPr="009F3C33" w:rsidRDefault="009F3C33" w:rsidP="009F3C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>Основные направления деятельности Контрольно-счетной  палаты в 2021 году сформированы в соответствии с задачами и функциями, возложенными на Контрольно-счетную палату Бюджетным кодексом Российской Федерации,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 и Положением о Контрольно-счетной палате.</w:t>
      </w:r>
      <w:proofErr w:type="gramEnd"/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своих полномочий первоочередными задачами Контрольно-счетная палата считает обеспечение и дальнейшее развитие контрольной и экспертно-аналитической деятельности. Во исполнение </w:t>
      </w:r>
      <w:proofErr w:type="gramStart"/>
      <w:r w:rsidRPr="009F3C33">
        <w:rPr>
          <w:rFonts w:ascii="Times New Roman" w:hAnsi="Times New Roman" w:cs="Times New Roman"/>
          <w:sz w:val="28"/>
          <w:szCs w:val="28"/>
        </w:rPr>
        <w:t>задач, законодательно закрепленных за контрольно-счетным органом в 2021 году Контрольно-счетной палатой запланировано</w:t>
      </w:r>
      <w:proofErr w:type="gramEnd"/>
      <w:r w:rsidRPr="009F3C33">
        <w:rPr>
          <w:rFonts w:ascii="Times New Roman" w:hAnsi="Times New Roman" w:cs="Times New Roman"/>
          <w:sz w:val="28"/>
          <w:szCs w:val="28"/>
        </w:rPr>
        <w:t xml:space="preserve"> провести 4 контрольных мероприятия на основании поручений Совета депутатов (решение Совета депутатов от 22.12.20</w:t>
      </w:r>
      <w:r w:rsidR="00AC2273">
        <w:rPr>
          <w:rFonts w:ascii="Times New Roman" w:hAnsi="Times New Roman" w:cs="Times New Roman"/>
          <w:sz w:val="28"/>
          <w:szCs w:val="28"/>
        </w:rPr>
        <w:t>20</w:t>
      </w:r>
      <w:r w:rsidRPr="009F3C33">
        <w:rPr>
          <w:rFonts w:ascii="Times New Roman" w:hAnsi="Times New Roman" w:cs="Times New Roman"/>
          <w:sz w:val="28"/>
          <w:szCs w:val="28"/>
        </w:rPr>
        <w:t xml:space="preserve">  № 43).</w:t>
      </w:r>
    </w:p>
    <w:p w:rsidR="009F3C33" w:rsidRPr="009F3C33" w:rsidRDefault="009F3C33" w:rsidP="009F3C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b/>
          <w:sz w:val="28"/>
          <w:szCs w:val="28"/>
        </w:rPr>
        <w:tab/>
      </w: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C33" w:rsidRPr="009F3C33" w:rsidRDefault="009F3C33" w:rsidP="009F3C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3C33" w:rsidRPr="009F3C33" w:rsidRDefault="009F3C33" w:rsidP="009F3C3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3C33" w:rsidRPr="009F3C33" w:rsidRDefault="009F3C33" w:rsidP="009F3C3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3C33" w:rsidRPr="009F3C33" w:rsidRDefault="009F3C33" w:rsidP="009F3C3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182A" w:rsidRDefault="00F4182A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F3C3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B46D9" w:rsidRDefault="004B46D9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</w:t>
      </w:r>
      <w:r w:rsidRPr="004B46D9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4B46D9">
        <w:rPr>
          <w:rFonts w:ascii="Times New Roman" w:hAnsi="Times New Roman" w:cs="Times New Roman"/>
          <w:sz w:val="28"/>
          <w:szCs w:val="28"/>
        </w:rPr>
        <w:t xml:space="preserve">о деятельности </w:t>
      </w:r>
    </w:p>
    <w:p w:rsidR="004B46D9" w:rsidRDefault="004B46D9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46D9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:rsidR="004B46D9" w:rsidRDefault="004B46D9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46D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B46D9" w:rsidRDefault="004B46D9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4B46D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4B46D9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</w:p>
    <w:p w:rsidR="004B46D9" w:rsidRPr="009F3C33" w:rsidRDefault="004B46D9" w:rsidP="004B46D9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46D9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D9">
        <w:rPr>
          <w:rFonts w:ascii="Times New Roman" w:hAnsi="Times New Roman" w:cs="Times New Roman"/>
          <w:sz w:val="28"/>
          <w:szCs w:val="28"/>
        </w:rPr>
        <w:t>в 2020 году</w:t>
      </w:r>
    </w:p>
    <w:p w:rsidR="004B46D9" w:rsidRDefault="004B46D9" w:rsidP="004B46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182A" w:rsidRPr="009F3C33" w:rsidRDefault="00F4182A" w:rsidP="004B46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C33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 ДЕЯТЕЛЬНОСТИ</w:t>
      </w:r>
    </w:p>
    <w:p w:rsidR="00F4182A" w:rsidRPr="009F3C33" w:rsidRDefault="00F4182A" w:rsidP="009F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C33">
        <w:rPr>
          <w:rFonts w:ascii="Times New Roman" w:hAnsi="Times New Roman" w:cs="Times New Roman"/>
          <w:b/>
          <w:bCs/>
          <w:sz w:val="24"/>
          <w:szCs w:val="24"/>
        </w:rPr>
        <w:t>КОНТРОЛЬНО - СЧЕТНОЙ ПАЛАТЫ МУНИЦИПАЛЬНОГО ОБРАЗОВАНИЯ</w:t>
      </w:r>
    </w:p>
    <w:p w:rsidR="00F4182A" w:rsidRPr="009F3C33" w:rsidRDefault="00F4182A" w:rsidP="009F3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C33">
        <w:rPr>
          <w:rFonts w:ascii="Times New Roman" w:hAnsi="Times New Roman" w:cs="Times New Roman"/>
          <w:b/>
          <w:bCs/>
          <w:sz w:val="24"/>
          <w:szCs w:val="24"/>
        </w:rPr>
        <w:t>СОЛЬ-ИЛЕЦКИЙ ГОРОДСКОЙ ОКРУГ ОРЕНБУРГСКОЙ ОБЛАСТИ В 2020 ГОДУ</w:t>
      </w:r>
    </w:p>
    <w:p w:rsidR="00F4182A" w:rsidRPr="009F3C33" w:rsidRDefault="00F4182A" w:rsidP="00F4182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938"/>
        <w:gridCol w:w="1651"/>
      </w:tblGrid>
      <w:tr w:rsidR="00F4182A" w:rsidRPr="009F3C33" w:rsidTr="009F3C33">
        <w:trPr>
          <w:trHeight w:val="505"/>
          <w:tblHeader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6:C62"/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bookmarkEnd w:id="0"/>
          <w:p w:rsidR="00F4182A" w:rsidRPr="009F3C33" w:rsidRDefault="00F4182A" w:rsidP="00CD2A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Показатели 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Проведено контрольных мероприятий, </w:t>
            </w:r>
          </w:p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AC2273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контрольно-ревизионные мероприятия, из них: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поручения Совета депутатов муниципального образования </w:t>
            </w:r>
            <w:proofErr w:type="spellStart"/>
            <w:r w:rsidRPr="009F3C3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9F3C3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городской округ Оренбургской области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Cs/>
                <w:sz w:val="28"/>
                <w:szCs w:val="28"/>
              </w:rPr>
              <w:t>1.2.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Внешняя проверка годового отчета об исполнении районного бюджета за 2017 год в соответствии со статьей 264.4 Бюджетного кодекса Российской Федерации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Охвачено контрольными мероприятиями объектов 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Проведено экспертно-аналитических мероприятий, </w:t>
            </w:r>
          </w:p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 2.1.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заключения на проекты решений и нормативные правовые акты, из них: 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бюджет городского округа 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муниципальные программы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>прочие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2.2. 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аналитические материалы об исполнении бюджета городского округа (ежеквартально)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Организационно-методическая деятельность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отчета о работе Контрольно-счетной палаты </w:t>
            </w:r>
            <w:proofErr w:type="spellStart"/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за 2019 год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формирование плана работы Контрольно-счетной палаты </w:t>
            </w:r>
            <w:proofErr w:type="spellStart"/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9F3C3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(на 2021 год)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Выявлено нарушений законодательства и недостатков в финансово-бюджетной сфере (тыс. рублей)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1 370,5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Составлено административных протоколов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общая сумма штрафов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материалов направленных в прокуратуру </w:t>
            </w:r>
            <w:proofErr w:type="spellStart"/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отчетов, заключений, аналитических записок направленных  в Совет депутатов муниципального образования </w:t>
            </w:r>
            <w:proofErr w:type="spellStart"/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4182A" w:rsidRPr="009F3C33" w:rsidTr="009F3C33">
        <w:trPr>
          <w:trHeight w:val="19"/>
        </w:trPr>
        <w:tc>
          <w:tcPr>
            <w:tcW w:w="8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938" w:type="dxa"/>
            <w:shd w:val="clear" w:color="auto" w:fill="auto"/>
          </w:tcPr>
          <w:p w:rsidR="00F4182A" w:rsidRPr="009F3C33" w:rsidRDefault="00F4182A" w:rsidP="00CD2AB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3C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заключенных соглашений о сотрудничестве и взаимодействии на 01.01.2020</w:t>
            </w:r>
          </w:p>
        </w:tc>
        <w:tc>
          <w:tcPr>
            <w:tcW w:w="1651" w:type="dxa"/>
            <w:shd w:val="clear" w:color="auto" w:fill="auto"/>
          </w:tcPr>
          <w:p w:rsidR="00F4182A" w:rsidRPr="009F3C33" w:rsidRDefault="00F4182A" w:rsidP="00CD2AB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9F3C3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F4182A" w:rsidRPr="009F3C33" w:rsidRDefault="00F4182A" w:rsidP="00F4182A">
      <w:pPr>
        <w:rPr>
          <w:rFonts w:ascii="Times New Roman" w:hAnsi="Times New Roman" w:cs="Times New Roman"/>
          <w:sz w:val="28"/>
          <w:szCs w:val="28"/>
        </w:rPr>
      </w:pPr>
    </w:p>
    <w:p w:rsidR="007E0AC3" w:rsidRPr="009F3C33" w:rsidRDefault="007E0AC3" w:rsidP="00F4182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E0AC3" w:rsidRPr="009F3C33" w:rsidSect="001803B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A67" w:rsidRDefault="00C24A67" w:rsidP="00837D93">
      <w:pPr>
        <w:spacing w:after="0" w:line="240" w:lineRule="auto"/>
      </w:pPr>
      <w:r>
        <w:separator/>
      </w:r>
    </w:p>
  </w:endnote>
  <w:endnote w:type="continuationSeparator" w:id="0">
    <w:p w:rsidR="00C24A67" w:rsidRDefault="00C24A67" w:rsidP="0083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A67" w:rsidRDefault="00C24A67" w:rsidP="00837D93">
      <w:pPr>
        <w:spacing w:after="0" w:line="240" w:lineRule="auto"/>
      </w:pPr>
      <w:r>
        <w:separator/>
      </w:r>
    </w:p>
  </w:footnote>
  <w:footnote w:type="continuationSeparator" w:id="0">
    <w:p w:rsidR="00C24A67" w:rsidRDefault="00C24A67" w:rsidP="00837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7134"/>
      <w:docPartObj>
        <w:docPartGallery w:val="Page Numbers (Top of Page)"/>
        <w:docPartUnique/>
      </w:docPartObj>
    </w:sdtPr>
    <w:sdtContent>
      <w:p w:rsidR="00837D93" w:rsidRDefault="009A71A7">
        <w:pPr>
          <w:pStyle w:val="a6"/>
          <w:jc w:val="center"/>
        </w:pPr>
        <w:r>
          <w:fldChar w:fldCharType="begin"/>
        </w:r>
        <w:r w:rsidR="00F12069">
          <w:instrText xml:space="preserve"> PAGE   \* MERGEFORMAT </w:instrText>
        </w:r>
        <w:r>
          <w:fldChar w:fldCharType="separate"/>
        </w:r>
        <w:r w:rsidR="001803B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37D93" w:rsidRDefault="00837D9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AC5"/>
    <w:rsid w:val="000B5E24"/>
    <w:rsid w:val="000C0DDB"/>
    <w:rsid w:val="000D78AA"/>
    <w:rsid w:val="00155CB1"/>
    <w:rsid w:val="00166C27"/>
    <w:rsid w:val="001803B1"/>
    <w:rsid w:val="001A69D7"/>
    <w:rsid w:val="001E03A7"/>
    <w:rsid w:val="001F323E"/>
    <w:rsid w:val="001F3743"/>
    <w:rsid w:val="00222DD9"/>
    <w:rsid w:val="00231842"/>
    <w:rsid w:val="002E7081"/>
    <w:rsid w:val="002F4789"/>
    <w:rsid w:val="00304180"/>
    <w:rsid w:val="00393065"/>
    <w:rsid w:val="003F0452"/>
    <w:rsid w:val="0044100C"/>
    <w:rsid w:val="00494A1A"/>
    <w:rsid w:val="004B46D9"/>
    <w:rsid w:val="0050714E"/>
    <w:rsid w:val="0056269B"/>
    <w:rsid w:val="00566FF7"/>
    <w:rsid w:val="0057395C"/>
    <w:rsid w:val="005F540B"/>
    <w:rsid w:val="005F62A2"/>
    <w:rsid w:val="00604986"/>
    <w:rsid w:val="006437B2"/>
    <w:rsid w:val="0064422B"/>
    <w:rsid w:val="00644545"/>
    <w:rsid w:val="00655698"/>
    <w:rsid w:val="00683BCA"/>
    <w:rsid w:val="006D36A0"/>
    <w:rsid w:val="006E631F"/>
    <w:rsid w:val="006E71BE"/>
    <w:rsid w:val="00700AC5"/>
    <w:rsid w:val="007B5C52"/>
    <w:rsid w:val="007C2D1B"/>
    <w:rsid w:val="007E0AC3"/>
    <w:rsid w:val="007F2E12"/>
    <w:rsid w:val="008329F2"/>
    <w:rsid w:val="00837D93"/>
    <w:rsid w:val="0084260A"/>
    <w:rsid w:val="0085206B"/>
    <w:rsid w:val="00861114"/>
    <w:rsid w:val="00863DBB"/>
    <w:rsid w:val="008C7C35"/>
    <w:rsid w:val="0093583D"/>
    <w:rsid w:val="009A71A7"/>
    <w:rsid w:val="009D55D7"/>
    <w:rsid w:val="009E0FD4"/>
    <w:rsid w:val="009F00CC"/>
    <w:rsid w:val="009F3C33"/>
    <w:rsid w:val="00A01362"/>
    <w:rsid w:val="00A23218"/>
    <w:rsid w:val="00A23FAB"/>
    <w:rsid w:val="00A86766"/>
    <w:rsid w:val="00A87DE7"/>
    <w:rsid w:val="00AC2273"/>
    <w:rsid w:val="00B10822"/>
    <w:rsid w:val="00B14FB0"/>
    <w:rsid w:val="00B70CD5"/>
    <w:rsid w:val="00C24A67"/>
    <w:rsid w:val="00C61947"/>
    <w:rsid w:val="00CD20B3"/>
    <w:rsid w:val="00CF046D"/>
    <w:rsid w:val="00D03F56"/>
    <w:rsid w:val="00D94BD0"/>
    <w:rsid w:val="00DD7697"/>
    <w:rsid w:val="00DD78EC"/>
    <w:rsid w:val="00DE0D63"/>
    <w:rsid w:val="00E23B29"/>
    <w:rsid w:val="00E7186F"/>
    <w:rsid w:val="00EC22BF"/>
    <w:rsid w:val="00EC3EDE"/>
    <w:rsid w:val="00EE2CD8"/>
    <w:rsid w:val="00EF3F16"/>
    <w:rsid w:val="00F12069"/>
    <w:rsid w:val="00F4182A"/>
    <w:rsid w:val="00F57C81"/>
    <w:rsid w:val="00F61FB6"/>
    <w:rsid w:val="00FB0F88"/>
    <w:rsid w:val="00FC092C"/>
    <w:rsid w:val="00FE53F3"/>
    <w:rsid w:val="00FF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A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0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AC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7D9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7D93"/>
    <w:rPr>
      <w:rFonts w:eastAsiaTheme="minorEastAsia"/>
      <w:lang w:eastAsia="ru-RU"/>
    </w:rPr>
  </w:style>
  <w:style w:type="paragraph" w:styleId="aa">
    <w:name w:val="Title"/>
    <w:basedOn w:val="a"/>
    <w:link w:val="ab"/>
    <w:qFormat/>
    <w:rsid w:val="007E0AC3"/>
    <w:pPr>
      <w:widowControl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7E0A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Normal (Web)"/>
    <w:basedOn w:val="a"/>
    <w:uiPriority w:val="99"/>
    <w:rsid w:val="007E0AC3"/>
    <w:pPr>
      <w:spacing w:after="75" w:line="240" w:lineRule="auto"/>
      <w:ind w:firstLine="567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paragraph" w:customStyle="1" w:styleId="ConsPlusNonformat">
    <w:name w:val="ConsPlusNonformat"/>
    <w:rsid w:val="007E0A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2954</Words>
  <Characters>16842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30</cp:revision>
  <cp:lastPrinted>2021-02-11T05:00:00Z</cp:lastPrinted>
  <dcterms:created xsi:type="dcterms:W3CDTF">2020-03-25T12:12:00Z</dcterms:created>
  <dcterms:modified xsi:type="dcterms:W3CDTF">2021-02-11T05:23:00Z</dcterms:modified>
</cp:coreProperties>
</file>